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bookmarkStart w:id="0" w:name="_Toc12565"/>
      <w:r>
        <w:rPr>
          <w:rFonts w:hint="eastAsia"/>
          <w:lang w:val="en-US" w:eastAsia="zh-CN"/>
        </w:rPr>
        <w:t>广东省XX教活动场所宗教服务收费标准</w:t>
      </w:r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规范广东省XX教活动场所宗教服务收费行为，维护信教群众合法权益，彰显宗教服务的非营利属性，我会委托XX、XX、XX等地市XX教两会（协会），对省内XX教活动场所宗教服务收费情况开展抽样调研。本收费标准在调研数据基础上研究起草，为全省XX教活动场所宗教服务收费工作提供内部自律指引。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一、收费标准制定原则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合法合规原则：</w:t>
      </w:r>
      <w:r>
        <w:rPr>
          <w:rFonts w:hint="eastAsia"/>
          <w:lang w:val="en-US" w:eastAsia="zh-CN"/>
        </w:rPr>
        <w:t>收费行为必须符合国家法律法规和政策规定，坚决杜绝不合理收费。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保本微利原则：</w:t>
      </w:r>
      <w:r>
        <w:rPr>
          <w:rFonts w:hint="eastAsia"/>
          <w:lang w:val="en-US" w:eastAsia="zh-CN"/>
        </w:rPr>
        <w:t>宗教服务及法物用品的定价应以补偿成本为基础，利润水平严格控制在合理范围内，体现宗教服务的非营利性。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差异化管理原则：</w:t>
      </w:r>
      <w:r>
        <w:rPr>
          <w:rFonts w:hint="eastAsia"/>
          <w:lang w:val="en-US" w:eastAsia="zh-CN"/>
        </w:rPr>
        <w:t>根据场所规模、信众基础、地域经济水平等因素，实行分类指导，制定差异化的收费标准，避免“一刀切”。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信众可承受原则：</w:t>
      </w:r>
      <w:r>
        <w:rPr>
          <w:rFonts w:hint="eastAsia"/>
          <w:lang w:val="en-US" w:eastAsia="zh-CN"/>
        </w:rPr>
        <w:t>收费标准应充分考虑当地居民人均可支配收入和物价水平，确保大多数信教群众能够承担。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内部规范原则：</w:t>
      </w:r>
      <w:r>
        <w:rPr>
          <w:rFonts w:hint="eastAsia"/>
          <w:lang w:val="en-US" w:eastAsia="zh-CN"/>
        </w:rPr>
        <w:t>本收费标准为内部管理规范，不得对外发布或作为强制性定价依据，旨在为场所提供自律指引。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二、宗教服务项目收费标准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于调研结果，将省内XX教活动场所按珠三角、粤西、粤北、粤东四个地域片区划分，各片区内再依据场所规模分为重点联系场所、较大场所、小微场所三类，对各类宗教服务项目制定最高限价，具体标准如下（单位：元）：</w:t>
      </w:r>
    </w:p>
    <w:p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以下表格为</w:t>
      </w:r>
      <w:bookmarkStart w:id="1" w:name="_GoBack"/>
      <w:bookmarkEnd w:id="1"/>
      <w:r>
        <w:rPr>
          <w:rFonts w:hint="eastAsia"/>
          <w:b/>
          <w:bCs/>
          <w:lang w:val="en-US" w:eastAsia="zh-CN"/>
        </w:rPr>
        <w:t>佛教活动场所制定类项，仅供参考！</w:t>
      </w:r>
    </w:p>
    <w:tbl>
      <w:tblPr>
        <w:tblStyle w:val="4"/>
        <w:tblW w:w="108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5"/>
        <w:gridCol w:w="868"/>
        <w:gridCol w:w="842"/>
        <w:gridCol w:w="810"/>
        <w:gridCol w:w="780"/>
        <w:gridCol w:w="795"/>
        <w:gridCol w:w="780"/>
        <w:gridCol w:w="825"/>
        <w:gridCol w:w="855"/>
        <w:gridCol w:w="825"/>
        <w:gridCol w:w="825"/>
        <w:gridCol w:w="780"/>
        <w:gridCol w:w="7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vMerge w:val="restart"/>
            <w:tcBorders>
              <w:top w:val="single" w:color="000000" w:themeColor="dark1" w:sz="6" w:space="0"/>
              <w:left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 w:themeColor="dark1"/>
                <w:sz w:val="22"/>
                <w:szCs w:val="22"/>
                <w:u w:val="none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 w:themeColor="dark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dk1"/>
                  </w14:solidFill>
                </w14:textFill>
              </w:rPr>
              <w:t>服务项目</w:t>
            </w:r>
          </w:p>
        </w:tc>
        <w:tc>
          <w:tcPr>
            <w:tcW w:w="2520" w:type="dxa"/>
            <w:gridSpan w:val="3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 w:themeColor="dark1"/>
                <w:sz w:val="22"/>
                <w:szCs w:val="22"/>
                <w:u w:val="none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 w:themeColor="dark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dk1"/>
                  </w14:solidFill>
                </w14:textFill>
              </w:rPr>
              <w:t>珠三角地区</w:t>
            </w:r>
          </w:p>
        </w:tc>
        <w:tc>
          <w:tcPr>
            <w:tcW w:w="2355" w:type="dxa"/>
            <w:gridSpan w:val="3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 w:themeColor="dark1"/>
                <w:sz w:val="22"/>
                <w:szCs w:val="22"/>
                <w:u w:val="none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 w:themeColor="dark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dk1"/>
                  </w14:solidFill>
                </w14:textFill>
              </w:rPr>
              <w:t>粤西地区</w:t>
            </w:r>
          </w:p>
        </w:tc>
        <w:tc>
          <w:tcPr>
            <w:tcW w:w="2505" w:type="dxa"/>
            <w:gridSpan w:val="3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 w:themeColor="dark1"/>
                <w:sz w:val="22"/>
                <w:szCs w:val="22"/>
                <w:u w:val="none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 w:themeColor="dark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dk1"/>
                  </w14:solidFill>
                </w14:textFill>
              </w:rPr>
              <w:t>粤北地区</w:t>
            </w:r>
          </w:p>
        </w:tc>
        <w:tc>
          <w:tcPr>
            <w:tcW w:w="2376" w:type="dxa"/>
            <w:gridSpan w:val="3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 w:themeColor="dark1"/>
                <w:sz w:val="22"/>
                <w:szCs w:val="22"/>
                <w:u w:val="none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 w:themeColor="dark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dk1"/>
                  </w14:solidFill>
                </w14:textFill>
              </w:rPr>
              <w:t>粤东地区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vMerge w:val="continue"/>
            <w:tcBorders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重点联系场所</w:t>
            </w: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较大场所</w:t>
            </w: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小微场所</w:t>
            </w: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重点联系场所</w:t>
            </w: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较大场所</w:t>
            </w: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小微场所</w:t>
            </w: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重点联系场所</w:t>
            </w: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较大场所</w:t>
            </w: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小微场所</w:t>
            </w: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重点联系场所</w:t>
            </w: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较大场所</w:t>
            </w: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小微场所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普佛法事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焰口法事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供斋法事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超度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祈福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水陆法会(内坛)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水陆法会(外坛)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长期牌位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牌位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default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供灯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拜忏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15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诵经</w:t>
            </w:r>
          </w:p>
        </w:tc>
        <w:tc>
          <w:tcPr>
            <w:tcW w:w="86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2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000000" w:themeColor="dark1" w:sz="6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ind w:firstLine="640" w:firstLineChars="200"/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>注：上表所列价格均为各项目对应类别场所的收费最高限价，各XX教活动场所可结合自身实际情况，在限价范围内自主制定具体收费标准。</w:t>
      </w:r>
    </w:p>
    <w:p>
      <w:pPr>
        <w:ind w:firstLine="642" w:firstLineChars="2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三、圣（法）物流通处利润标准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圣（法）</w:t>
      </w:r>
      <w:r>
        <w:rPr>
          <w:rFonts w:hint="eastAsia"/>
          <w:lang w:val="en-US" w:eastAsia="zh-CN"/>
        </w:rPr>
        <w:t>物用品定价严格遵循“保本微利”原则，各XX教活动场所圣（法）</w:t>
      </w:r>
      <w:r>
        <w:rPr>
          <w:rFonts w:hint="eastAsia"/>
          <w:lang w:val="en-US" w:eastAsia="zh-CN"/>
        </w:rPr>
        <w:t>物流通处需精准核算全流程运营成本，成本包含圣（法）物进货成本、僧众津贴、水电费用、场地折旧、人工工资等相关直接与间接支出。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在扣除全部核算成本后，流通处整体利润上限严格控制在30%以内。对于进货成本极低的小件法物用品，应坚持公益合理定价原则，避免设定过高销售单价，切实维护信教群众的切身利益。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991260"/>
    <w:rsid w:val="12AE7BCD"/>
    <w:rsid w:val="1B263D19"/>
    <w:rsid w:val="240631C8"/>
    <w:rsid w:val="56A44042"/>
    <w:rsid w:val="5F991260"/>
    <w:rsid w:val="62D6719E"/>
    <w:rsid w:val="6E904FF6"/>
    <w:rsid w:val="FF6DE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560" w:lineRule="exact"/>
      <w:ind w:firstLine="640" w:firstLineChars="20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Autospacing="1" w:afterAutospacing="1"/>
      <w:ind w:firstLine="0" w:firstLineChars="0"/>
      <w:jc w:val="center"/>
      <w:outlineLvl w:val="0"/>
    </w:pPr>
    <w:rPr>
      <w:rFonts w:eastAsia="方正小标宋_GBK" w:cs="宋体"/>
      <w:bCs/>
      <w:kern w:val="36"/>
      <w:sz w:val="48"/>
      <w:szCs w:val="4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605</Words>
  <Characters>605</Characters>
  <Lines>0</Lines>
  <Paragraphs>0</Paragraphs>
  <TotalTime>1</TotalTime>
  <ScaleCrop>false</ScaleCrop>
  <LinksUpToDate>false</LinksUpToDate>
  <CharactersWithSpaces>605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2026-02-24T13:57:00Z</dcterms:created>
  <dc:creator>段基亮</dc:creator>
  <cp:lastModifiedBy>linhui</cp:lastModifiedBy>
  <dcterms:modified xsi:type="dcterms:W3CDTF">2026-02-26T08:54:48Z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AC147ABD096A4E73BADA539823C8CDF9_11</vt:lpwstr>
  </property>
  <property fmtid="{D5CDD505-2E9C-101B-9397-08002B2CF9AE}" pid="4" name="KSOTemplateDocerSaveRecord">
    <vt:lpwstr>eyJoZGlkIjoiNTg0OTc1ZDU4ZDUyNDU4MTZkNGIzOGY1OWY3M2QwOWUiLCJ1c2VySWQiOiIyMzA3NTYzOTAifQ==</vt:lpwstr>
  </property>
</Properties>
</file>